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752E2A" w:rsidRDefault="00752E2A" w:rsidP="0045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452A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bookmarkStart w:id="0" w:name="_GoBack"/>
            <w:bookmarkEnd w:id="0"/>
          </w:p>
        </w:tc>
        <w:tc>
          <w:tcPr>
            <w:tcW w:w="1842" w:type="dxa"/>
            <w:gridSpan w:val="2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52E2A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52E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C50E6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C50E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r w:rsidR="00C50E65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представляет собой  учебную дисциплину, в которой изучаются особенности </w:t>
            </w:r>
            <w:r w:rsidR="00C50E6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области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денежно-кредитной 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регулирования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котор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ое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 достаточной для выполнения профессиональной работы в банках на различных руководящих должностях, требующих высшего экономического образования в соответствии с Государственным общеобязательным стандартом образования Республики Казахстан.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B30A3F" w:rsidP="00B30A3F">
            <w:pPr>
              <w:jc w:val="both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получение  студентами знаний об основных тенденциях и  закономерностях денежного  обращения    и  кредита  в условиях рыночного хозяйства, принципах и механизме  современной денежно-кредитной системы, а также полного представления о западной рыночной модели регулирования денег и кредита в сопоставлении с формирующейся казахстанской моделью.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Должен знать организацию деятельности Национального Банка РК</w:t>
            </w:r>
            <w:proofErr w:type="gramStart"/>
            <w:r w:rsidRPr="00EE6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EE6557">
              <w:rPr>
                <w:rFonts w:ascii="Times New Roman" w:hAnsi="Times New Roman" w:cs="Times New Roman"/>
              </w:rPr>
              <w:t>его задачи</w:t>
            </w:r>
            <w:r>
              <w:rPr>
                <w:rFonts w:ascii="Times New Roman" w:hAnsi="Times New Roman" w:cs="Times New Roman"/>
              </w:rPr>
              <w:t>,</w:t>
            </w:r>
            <w:r w:rsidRPr="00EE6557">
              <w:rPr>
                <w:rFonts w:ascii="Times New Roman" w:hAnsi="Times New Roman" w:cs="Times New Roman"/>
              </w:rPr>
              <w:t xml:space="preserve"> функции,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EE6557">
              <w:rPr>
                <w:rFonts w:ascii="Times New Roman" w:hAnsi="Times New Roman" w:cs="Times New Roman"/>
              </w:rPr>
              <w:t>основные инструменты денежно-кредитной политики</w:t>
            </w:r>
            <w:r>
              <w:rPr>
                <w:rFonts w:ascii="Times New Roman" w:hAnsi="Times New Roman" w:cs="Times New Roman"/>
              </w:rPr>
              <w:t xml:space="preserve"> и денежно-кредитного регулирования</w:t>
            </w:r>
            <w:r w:rsidRPr="00EE6557">
              <w:rPr>
                <w:rFonts w:ascii="Times New Roman" w:hAnsi="Times New Roman" w:cs="Times New Roman"/>
              </w:rPr>
              <w:t xml:space="preserve">.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Уметь самостоятельно принимать реш</w:t>
            </w:r>
            <w:r>
              <w:rPr>
                <w:rFonts w:ascii="Times New Roman" w:hAnsi="Times New Roman" w:cs="Times New Roman"/>
              </w:rPr>
              <w:t>ения для выбора инструментов денежно-кредитного регулирования</w:t>
            </w:r>
          </w:p>
          <w:p w:rsidR="00AE2B3D" w:rsidRPr="00E63A0D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EE6557">
              <w:rPr>
                <w:rFonts w:ascii="Times New Roman" w:hAnsi="Times New Roman" w:cs="Times New Roman"/>
              </w:rPr>
              <w:t>проводить расчет уровня инфляции и денежной массы в стране.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E6557" w:rsidRPr="00B0515F" w:rsidRDefault="00EE6557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1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1"/>
          </w:p>
          <w:p w:rsidR="00B30A3F" w:rsidRPr="00B0515F" w:rsidRDefault="00B30A3F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6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2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3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Абдулина Н.К. Банковская система за десять лет независимости Казахстана. Алматы, 2010г.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6557">
              <w:rPr>
                <w:rFonts w:ascii="Times New Roman" w:hAnsi="Times New Roman" w:cs="Times New Roman"/>
              </w:rPr>
              <w:t>Анулова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Г.Н.  Денежно-кредитное регулирование: опыт развивающихся  стран. - М: Финансы и статистика. 2010.</w:t>
            </w:r>
          </w:p>
          <w:p w:rsidR="00AE2B3D" w:rsidRPr="00E63A0D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Деньги, кредит, банки.  Под</w:t>
            </w:r>
            <w:proofErr w:type="gramStart"/>
            <w:r w:rsidRPr="00EE6557">
              <w:rPr>
                <w:rFonts w:ascii="Times New Roman" w:hAnsi="Times New Roman" w:cs="Times New Roman"/>
              </w:rPr>
              <w:t>.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6557">
              <w:rPr>
                <w:rFonts w:ascii="Times New Roman" w:hAnsi="Times New Roman" w:cs="Times New Roman"/>
              </w:rPr>
              <w:t>р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E6557">
              <w:rPr>
                <w:rFonts w:ascii="Times New Roman" w:hAnsi="Times New Roman" w:cs="Times New Roman"/>
              </w:rPr>
              <w:t>Сейткасимов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Т.С.- Алматы: Экономика, 2007.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C22BA4" w:rsidP="00C22B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Осваивают  фундаментальные экономические знания в области организации денежного обращения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кредита,  основ и особенностей реализации кредитных отношений на  внутреннем и международном рынках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законодательные и нормативные документы,  регламентирующие 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функционирование финансовог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рынка и финансовых институтов.</w:t>
            </w:r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lastRenderedPageBreak/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B30A3F" w:rsidRPr="00B30A3F" w:rsidRDefault="00B30A3F" w:rsidP="00B30A3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30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кредит, банки,  Банковское дело</w:t>
            </w:r>
          </w:p>
          <w:p w:rsidR="00695801" w:rsidRPr="00AE2B3D" w:rsidRDefault="00695801" w:rsidP="001F5505">
            <w:pPr>
              <w:rPr>
                <w:rFonts w:ascii="Times New Roman" w:hAnsi="Times New Roman" w:cs="Times New Roman"/>
              </w:rPr>
            </w:pPr>
            <w:r w:rsidRPr="00AE2B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5803"/>
        <w:gridCol w:w="1560"/>
        <w:gridCol w:w="1416"/>
      </w:tblGrid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Pr="00752E2A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Теоретические основы денежно-кредитного регулирования экономики</w:t>
            </w:r>
          </w:p>
        </w:tc>
      </w:tr>
      <w:tr w:rsidR="00752E2A" w:rsidRPr="00752E2A" w:rsidTr="00752E2A">
        <w:trPr>
          <w:trHeight w:val="344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 занятие 1.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Инструменты денежно-кредитной политики государства. 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2.</w:t>
            </w:r>
            <w:r w:rsidRPr="00752E2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Инфляционное</w:t>
            </w:r>
            <w:proofErr w:type="gram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таргетирование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в денежно-кредитном регулировании государства. Опыт промышленных развитых стран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влияния инструментов денежно-кредитного регулирования на макроэкономические показатели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4.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2.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Анализ методов регулирования объема и структуры денежной базы и денежной массы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 Денежный рынок и денежно-кредитная политика государства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5.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Центральный банк государства и его роль в денежно-кредитном регулировании экономики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 РК и его роль в денежно-кредитном регулировании экономики 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функции 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РК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6.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6.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Законодательные акты, нормы и нормативы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РК как инструменты денежно-кредитного регулирования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Инструменты, методы и прогнозирование денежно-кредитной политики.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120" w:line="240" w:lineRule="auto"/>
              <w:ind w:right="42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7.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2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методов и инструментов денежно-кредитного регулирования экономики РК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Рубежный контроль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1-7 неделя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1B766C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1B76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52E2A"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исполнения прогноза денежно-кредитной политики и принятие решений. Анализ ситуаций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прогнозирования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   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3,14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15.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15.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13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13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752E2A" w:rsidRPr="00752E2A" w:rsidRDefault="00752E2A" w:rsidP="00752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2A00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01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28</cp:revision>
  <cp:lastPrinted>2016-04-21T03:25:00Z</cp:lastPrinted>
  <dcterms:created xsi:type="dcterms:W3CDTF">2016-04-08T05:07:00Z</dcterms:created>
  <dcterms:modified xsi:type="dcterms:W3CDTF">2016-06-16T11:17:00Z</dcterms:modified>
</cp:coreProperties>
</file>